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D3" w:rsidRDefault="00C80AD3" w:rsidP="00C80AD3">
      <w:pPr>
        <w:shd w:val="clear" w:color="auto" w:fill="FFFFFF"/>
        <w:tabs>
          <w:tab w:val="left" w:leader="dot" w:pos="8537"/>
        </w:tabs>
        <w:jc w:val="center"/>
        <w:rPr>
          <w:b/>
          <w:bCs/>
          <w:spacing w:val="-1"/>
          <w:w w:val="101"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для подготовки к промежуточной аттестации (тестированию) экзамену</w:t>
      </w:r>
    </w:p>
    <w:p w:rsidR="00C80AD3" w:rsidRDefault="00C80AD3" w:rsidP="00C80AD3">
      <w:pPr>
        <w:shd w:val="clear" w:color="auto" w:fill="FFFFFF"/>
        <w:tabs>
          <w:tab w:val="left" w:leader="dot" w:pos="8537"/>
        </w:tabs>
        <w:jc w:val="center"/>
        <w:rPr>
          <w:b/>
          <w:bCs/>
          <w:spacing w:val="-1"/>
          <w:w w:val="101"/>
          <w:sz w:val="28"/>
          <w:szCs w:val="28"/>
        </w:rPr>
      </w:pP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Основные этапы исторического развития теории управления человеческими ресурсами.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Определение понятий «кадры», «персонал», «человеческие ресурсы». Основные отличительные особенности понятий «персонал» и «человеческие ресурсы».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Понятие и виды источников правового регулирования трудовых отношений.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Роль правового регулирования в формировании политики и стратегии управления человеческими ресурсами в организации.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Локальные нормативные акты и их значение для регламентации процессов подбора, адаптации, мотивации, оценки, развития и высвобождения персонала.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Соотношение труда на условиях трудового договора, договора подряда и заемного труда.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Формы привлечения к труду: </w:t>
      </w:r>
      <w:proofErr w:type="spellStart"/>
      <w:r>
        <w:rPr>
          <w:spacing w:val="-1"/>
          <w:w w:val="101"/>
          <w:sz w:val="28"/>
          <w:szCs w:val="28"/>
        </w:rPr>
        <w:t>аутсорсинг</w:t>
      </w:r>
      <w:proofErr w:type="spellEnd"/>
      <w:r>
        <w:rPr>
          <w:spacing w:val="-1"/>
          <w:w w:val="101"/>
          <w:sz w:val="28"/>
          <w:szCs w:val="28"/>
        </w:rPr>
        <w:t xml:space="preserve">, </w:t>
      </w:r>
      <w:proofErr w:type="spellStart"/>
      <w:r>
        <w:rPr>
          <w:spacing w:val="-1"/>
          <w:w w:val="101"/>
          <w:sz w:val="28"/>
          <w:szCs w:val="28"/>
        </w:rPr>
        <w:t>аутстаффинг</w:t>
      </w:r>
      <w:proofErr w:type="spellEnd"/>
      <w:r>
        <w:rPr>
          <w:spacing w:val="-1"/>
          <w:w w:val="101"/>
          <w:sz w:val="28"/>
          <w:szCs w:val="28"/>
        </w:rPr>
        <w:t>, подбор временного персонала (</w:t>
      </w:r>
      <w:proofErr w:type="spellStart"/>
      <w:r>
        <w:rPr>
          <w:spacing w:val="-1"/>
          <w:w w:val="101"/>
          <w:sz w:val="28"/>
          <w:szCs w:val="28"/>
        </w:rPr>
        <w:t>temporary</w:t>
      </w:r>
      <w:proofErr w:type="spellEnd"/>
      <w:r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</w:rPr>
        <w:t>staffing</w:t>
      </w:r>
      <w:proofErr w:type="spellEnd"/>
      <w:r>
        <w:rPr>
          <w:spacing w:val="-1"/>
          <w:w w:val="101"/>
          <w:sz w:val="28"/>
          <w:szCs w:val="28"/>
        </w:rPr>
        <w:t xml:space="preserve">), применение систем «удаленного труда».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Адаптация персонала. Место испытания при приеме на работу в системе адаптации персонала.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Оформление трудовых отношений.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Понятие развития человеческих ресурсов. Сущность и цели обучения персонала.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Виды  и формы обучения персонала. Анализ основных методов обучения персонала. Ученический договор.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Сущность и цели оценки персонала.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Аттестация персонала. Цели, виды, задачи аттестации.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Порядок прекращения трудового договора по инициативе работодателя.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Прекращение трудового договора по инициативе работника. Прекращение трудового договора по соглашению сторон.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Прекращение трудового договора по обстоятельствам, независящим от воли сторон.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Правовые гарантии работникам в случае прекращения трудовых отношений с работодателем.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Особенности отраслевых соглашений и региональных соглашений о минимальной заработной плате.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Коллективно-договорное регулирование социально-трудовых отношений в организации. Порядок ведения коллективных переговоров.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Виды и режимы рабочего времени.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Особенности внедрения и использования гибкого рабочего времени.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lastRenderedPageBreak/>
        <w:t xml:space="preserve">Системы и формы оплаты труда в организации. Структура заработной платы.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Льготы, доплаты, пенсии и пособия работникам: государственно-нормативное, социально-партнерское и корпоративное регулирование.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Процедуры рассмотрения и разрешения трудовых споров.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Понятие </w:t>
      </w:r>
      <w:proofErr w:type="spellStart"/>
      <w:r>
        <w:rPr>
          <w:spacing w:val="-1"/>
          <w:w w:val="101"/>
          <w:sz w:val="28"/>
          <w:szCs w:val="28"/>
        </w:rPr>
        <w:t>моббинга</w:t>
      </w:r>
      <w:proofErr w:type="spellEnd"/>
      <w:r>
        <w:rPr>
          <w:spacing w:val="-1"/>
          <w:w w:val="101"/>
          <w:sz w:val="28"/>
          <w:szCs w:val="28"/>
        </w:rPr>
        <w:t xml:space="preserve">, пути его предупреждения в профессиональной среде. Правовые средства защиты от дискриминации в сфере труда.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Медиация как способ разрешения трудовых конфликтов. </w:t>
      </w:r>
    </w:p>
    <w:p w:rsidR="00C80AD3" w:rsidRDefault="00C80AD3" w:rsidP="00C80AD3">
      <w:pPr>
        <w:numPr>
          <w:ilvl w:val="0"/>
          <w:numId w:val="1"/>
        </w:numPr>
        <w:shd w:val="clear" w:color="auto" w:fill="FFFFFF"/>
        <w:tabs>
          <w:tab w:val="left" w:leader="dot" w:pos="8537"/>
        </w:tabs>
        <w:jc w:val="both"/>
        <w:rPr>
          <w:spacing w:val="-1"/>
          <w:w w:val="101"/>
          <w:sz w:val="28"/>
          <w:szCs w:val="28"/>
        </w:rPr>
      </w:pPr>
      <w:r>
        <w:rPr>
          <w:spacing w:val="-1"/>
          <w:w w:val="101"/>
          <w:sz w:val="28"/>
          <w:szCs w:val="28"/>
        </w:rPr>
        <w:t>Правовые и организационные риски работодателя, связанные с нарушением законодательства о труде.</w:t>
      </w:r>
    </w:p>
    <w:p w:rsidR="00387411" w:rsidRDefault="00387411"/>
    <w:sectPr w:rsidR="00387411" w:rsidSect="0038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E3D"/>
    <w:multiLevelType w:val="hybridMultilevel"/>
    <w:tmpl w:val="F4863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AD3"/>
    <w:rsid w:val="001B199C"/>
    <w:rsid w:val="001E0A97"/>
    <w:rsid w:val="002923F7"/>
    <w:rsid w:val="002C759B"/>
    <w:rsid w:val="00387411"/>
    <w:rsid w:val="00423071"/>
    <w:rsid w:val="00893288"/>
    <w:rsid w:val="00947223"/>
    <w:rsid w:val="00A83040"/>
    <w:rsid w:val="00C80AD3"/>
    <w:rsid w:val="00D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chetverikovatn</dc:creator>
  <cp:lastModifiedBy>chetverikovatn</cp:lastModifiedBy>
  <cp:revision>1</cp:revision>
  <dcterms:created xsi:type="dcterms:W3CDTF">2023-12-07T11:05:00Z</dcterms:created>
  <dcterms:modified xsi:type="dcterms:W3CDTF">2023-12-07T11:06:00Z</dcterms:modified>
</cp:coreProperties>
</file>